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47A4" w:rsidRPr="00C0117E" w:rsidRDefault="00405952">
      <w:pPr>
        <w:rPr>
          <w:b/>
        </w:rPr>
      </w:pPr>
      <w:r>
        <w:rPr>
          <w:b/>
        </w:rPr>
        <w:t>KNJIŽNICA I ČITAONICA</w:t>
      </w:r>
      <w:r w:rsidR="004D3E40" w:rsidRPr="00C0117E">
        <w:rPr>
          <w:b/>
        </w:rPr>
        <w:t xml:space="preserve"> KOTORIBA</w:t>
      </w:r>
    </w:p>
    <w:p w:rsidR="004D3E40" w:rsidRDefault="004D3E40"/>
    <w:p w:rsidR="004D3E40" w:rsidRPr="00C0117E" w:rsidRDefault="004D3E40" w:rsidP="00C0117E">
      <w:pPr>
        <w:jc w:val="center"/>
        <w:rPr>
          <w:b/>
        </w:rPr>
      </w:pPr>
      <w:r w:rsidRPr="00C0117E">
        <w:rPr>
          <w:b/>
        </w:rPr>
        <w:t xml:space="preserve">OBRAZLOŽENJE UZ FINANCIJSKI PLAN </w:t>
      </w:r>
      <w:r w:rsidR="00405952">
        <w:rPr>
          <w:b/>
        </w:rPr>
        <w:t>KNJIŽNICE I ČITAONICE</w:t>
      </w:r>
      <w:r w:rsidRPr="00C0117E">
        <w:rPr>
          <w:b/>
        </w:rPr>
        <w:t xml:space="preserve"> KOTORIBA ZA RAZDOBLJE  2026.-2028. GODINU</w:t>
      </w:r>
    </w:p>
    <w:p w:rsidR="004D3E40" w:rsidRDefault="004D3E40" w:rsidP="00465DDD">
      <w:pPr>
        <w:jc w:val="both"/>
      </w:pPr>
      <w:r>
        <w:t>U skladu s odredbama Zakona o proračunu ( N/N 144/2021) sačinjen je Financijski plan</w:t>
      </w:r>
      <w:r w:rsidR="00405952">
        <w:t xml:space="preserve"> Knjižnice i čitaonice</w:t>
      </w:r>
      <w:r>
        <w:t xml:space="preserve"> Kotoriba za 2026. godinu s projekcijom za 2027. i 2028. godinu.</w:t>
      </w:r>
    </w:p>
    <w:p w:rsidR="004D3E40" w:rsidRPr="00C0117E" w:rsidRDefault="004D3E40" w:rsidP="00465DDD">
      <w:pPr>
        <w:jc w:val="both"/>
        <w:rPr>
          <w:b/>
        </w:rPr>
      </w:pPr>
      <w:r w:rsidRPr="00C0117E">
        <w:rPr>
          <w:b/>
        </w:rPr>
        <w:t>Financijski plan se sastoji od:</w:t>
      </w:r>
    </w:p>
    <w:p w:rsidR="004D3E40" w:rsidRPr="00C0117E" w:rsidRDefault="005B51CA" w:rsidP="00465DDD">
      <w:pPr>
        <w:jc w:val="both"/>
        <w:rPr>
          <w:b/>
        </w:rPr>
      </w:pPr>
      <w:r>
        <w:rPr>
          <w:b/>
        </w:rPr>
        <w:t xml:space="preserve">1. </w:t>
      </w:r>
      <w:r w:rsidR="004D3E40" w:rsidRPr="00C0117E">
        <w:rPr>
          <w:b/>
        </w:rPr>
        <w:t>Općeg dijela</w:t>
      </w:r>
    </w:p>
    <w:p w:rsidR="004D3E40" w:rsidRPr="00C0117E" w:rsidRDefault="005B51CA" w:rsidP="00465DDD">
      <w:pPr>
        <w:jc w:val="both"/>
        <w:rPr>
          <w:b/>
        </w:rPr>
      </w:pPr>
      <w:r>
        <w:rPr>
          <w:b/>
        </w:rPr>
        <w:t xml:space="preserve">2. </w:t>
      </w:r>
      <w:r w:rsidR="004D3E40" w:rsidRPr="00C0117E">
        <w:rPr>
          <w:b/>
        </w:rPr>
        <w:t>Posebnog dijela</w:t>
      </w:r>
    </w:p>
    <w:p w:rsidR="005B51CA" w:rsidRDefault="005B51CA" w:rsidP="005B51CA">
      <w:pPr>
        <w:jc w:val="both"/>
        <w:rPr>
          <w:b/>
        </w:rPr>
      </w:pPr>
      <w:r>
        <w:rPr>
          <w:b/>
        </w:rPr>
        <w:t>3. Izvještaj o zaduživanju</w:t>
      </w:r>
    </w:p>
    <w:p w:rsidR="005B51CA" w:rsidRDefault="005B51CA" w:rsidP="005B51CA">
      <w:pPr>
        <w:jc w:val="both"/>
        <w:rPr>
          <w:b/>
        </w:rPr>
      </w:pPr>
      <w:r>
        <w:rPr>
          <w:b/>
        </w:rPr>
        <w:t>4. Izvještaj o korištenju proračunske zalihe</w:t>
      </w:r>
    </w:p>
    <w:p w:rsidR="005B51CA" w:rsidRDefault="005B51CA" w:rsidP="005B51CA">
      <w:pPr>
        <w:jc w:val="both"/>
        <w:rPr>
          <w:b/>
        </w:rPr>
      </w:pPr>
      <w:r>
        <w:rPr>
          <w:b/>
        </w:rPr>
        <w:t>5. Izvještaj o danim jamstvima i izdacima po jamstvima</w:t>
      </w:r>
    </w:p>
    <w:p w:rsidR="005B51CA" w:rsidRPr="00C0117E" w:rsidRDefault="005B51CA" w:rsidP="005B51CA">
      <w:pPr>
        <w:jc w:val="both"/>
        <w:rPr>
          <w:b/>
        </w:rPr>
      </w:pPr>
      <w:r>
        <w:rPr>
          <w:b/>
        </w:rPr>
        <w:t>6. Obrazloženje ostvarenja prihoda i primitaka te realizacije rashoda i izdataka uz izvještaj o programskoj klasifikaciji</w:t>
      </w:r>
    </w:p>
    <w:p w:rsidR="005B51CA" w:rsidRDefault="005B51CA" w:rsidP="005B51CA">
      <w:pPr>
        <w:jc w:val="both"/>
      </w:pPr>
    </w:p>
    <w:p w:rsidR="005B51CA" w:rsidRDefault="005B51CA" w:rsidP="005B51CA">
      <w:pPr>
        <w:pStyle w:val="ListParagraph"/>
        <w:numPr>
          <w:ilvl w:val="0"/>
          <w:numId w:val="1"/>
        </w:numPr>
        <w:jc w:val="both"/>
        <w:rPr>
          <w:b/>
        </w:rPr>
      </w:pPr>
      <w:r w:rsidRPr="00D87793">
        <w:rPr>
          <w:b/>
        </w:rPr>
        <w:t>OPĆI DIO PRORAČUNA</w:t>
      </w:r>
    </w:p>
    <w:p w:rsidR="004D3E40" w:rsidRPr="00C0117E" w:rsidRDefault="005B51CA" w:rsidP="005B51CA">
      <w:pPr>
        <w:pStyle w:val="ListParagraph"/>
        <w:ind w:left="1080"/>
        <w:jc w:val="both"/>
        <w:rPr>
          <w:b/>
        </w:rPr>
      </w:pPr>
      <w:r>
        <w:rPr>
          <w:b/>
        </w:rPr>
        <w:t>Sažetak općeg dijela</w:t>
      </w:r>
    </w:p>
    <w:p w:rsidR="004D3E40" w:rsidRDefault="004D3E40" w:rsidP="00465DDD">
      <w:pPr>
        <w:jc w:val="both"/>
      </w:pPr>
      <w:r w:rsidRPr="00405952">
        <w:rPr>
          <w:b/>
        </w:rPr>
        <w:t>Opći dio financijskog plana</w:t>
      </w:r>
      <w:r>
        <w:t xml:space="preserve"> čini Sažetak Račun prihoda i rashoda i računa financiranja te račun prihoda i rashoda i Račun financiranja.</w:t>
      </w:r>
      <w:r w:rsidR="00405952">
        <w:t xml:space="preserve"> </w:t>
      </w:r>
      <w:r>
        <w:t>Višegodišnji plan uravnoteženja financiranja sadrži podatke o rezultatu poslovanja iz prethodne godine. Podatak o donosu rezultata poslovanja iz prethodne godine  procijenjeni je iznos jer točni rezultati poslovanja za prijenos u narednu godinu poznat je tek po godišnjem obračunu.</w:t>
      </w:r>
    </w:p>
    <w:p w:rsidR="004D3E40" w:rsidRDefault="004D3E40" w:rsidP="00465DDD">
      <w:pPr>
        <w:jc w:val="both"/>
      </w:pPr>
      <w:r w:rsidRPr="00405952">
        <w:rPr>
          <w:b/>
        </w:rPr>
        <w:t>Račun prihoda i rashoda sadrži</w:t>
      </w:r>
      <w:r w:rsidR="00405952">
        <w:t xml:space="preserve"> </w:t>
      </w:r>
      <w:r>
        <w:t>( po ekonomskoj klasifikaciji i izvorima financiranja) prihode poslovanja ( skupina konta 6) i prihode od prodaje nefinancijske imovine (skupina konta 7) te rashode poslovanja</w:t>
      </w:r>
      <w:r w:rsidR="00405952">
        <w:t xml:space="preserve"> </w:t>
      </w:r>
      <w:r>
        <w:t>( skupina konta 3) i rashode za nabavu nefinancijske imovine</w:t>
      </w:r>
      <w:r w:rsidR="00405952">
        <w:t xml:space="preserve"> </w:t>
      </w:r>
      <w:r>
        <w:t>( skupina konta 4).</w:t>
      </w:r>
    </w:p>
    <w:p w:rsidR="00405952" w:rsidRDefault="00405952" w:rsidP="00465DDD">
      <w:pPr>
        <w:jc w:val="both"/>
      </w:pPr>
      <w:r w:rsidRPr="00405952">
        <w:rPr>
          <w:b/>
        </w:rPr>
        <w:t xml:space="preserve">U okviru planiranih </w:t>
      </w:r>
      <w:r w:rsidRPr="003A6136">
        <w:rPr>
          <w:b/>
        </w:rPr>
        <w:t>prihoda</w:t>
      </w:r>
      <w:r w:rsidRPr="003A6136">
        <w:t xml:space="preserve"> prihodi su planirani u sveukupnom iznosu od </w:t>
      </w:r>
      <w:r w:rsidR="005B51CA" w:rsidRPr="003A6136">
        <w:t>202.500,00</w:t>
      </w:r>
      <w:r w:rsidRPr="003A6136">
        <w:t xml:space="preserve"> eura. Planirani prihodi u odnosu na 2024. godinu su </w:t>
      </w:r>
      <w:r w:rsidR="005B51CA" w:rsidRPr="003A6136">
        <w:t>viši</w:t>
      </w:r>
      <w:r w:rsidRPr="003A6136">
        <w:t xml:space="preserve">. </w:t>
      </w:r>
      <w:r>
        <w:t xml:space="preserve">Knjižnica i čitaonica Kotoriba je narodna knjižnica koja obavlja funkciju narodne knjižnice. Osnivač i </w:t>
      </w:r>
      <w:r w:rsidR="00D163D2">
        <w:t>vlasnik knjižnice je Općina Kotoriba i u svom proračunu osigurava sredstva za redoviti rad knjižnice.</w:t>
      </w:r>
    </w:p>
    <w:p w:rsidR="00D163D2" w:rsidRDefault="00D163D2" w:rsidP="00465DDD">
      <w:pPr>
        <w:jc w:val="both"/>
      </w:pPr>
      <w:r>
        <w:t>Djelatnost knjižnice obuhvaća osobito: nabavu knjiga i ostale knjižnične građe, čuvanje i zaštitu knjižnične građe, osiguranje korištenja i posudbe knjižne građe te protok informacija, poticanje i pomoć korisnicima pri izboru i korištenju knjižne građe te vođenje dokumentacije o građi i korisnicima.</w:t>
      </w:r>
    </w:p>
    <w:p w:rsidR="00D163D2" w:rsidRDefault="00D163D2" w:rsidP="00465DDD">
      <w:pPr>
        <w:jc w:val="both"/>
      </w:pPr>
      <w:r>
        <w:t>Knjižnica ima zaposlenog 1 djelatnika na puno radno vrijeme koji uz poslove ravnatelja obavlja i poslove knjižničara.</w:t>
      </w:r>
    </w:p>
    <w:p w:rsidR="00D163D2" w:rsidRPr="00A53F14" w:rsidRDefault="00D163D2" w:rsidP="00465DDD">
      <w:pPr>
        <w:jc w:val="both"/>
      </w:pPr>
      <w:r>
        <w:t>Rashodi su u 202</w:t>
      </w:r>
      <w:r w:rsidR="00DA5E42">
        <w:t>6</w:t>
      </w:r>
      <w:r>
        <w:t xml:space="preserve">. godini planirani u iznosu </w:t>
      </w:r>
      <w:r w:rsidRPr="00A53F14">
        <w:t xml:space="preserve">od </w:t>
      </w:r>
      <w:r w:rsidR="00DA5E42" w:rsidRPr="00A53F14">
        <w:t>202.500,00</w:t>
      </w:r>
      <w:r w:rsidRPr="00A53F14">
        <w:t xml:space="preserve"> eura.</w:t>
      </w:r>
    </w:p>
    <w:p w:rsidR="00021168" w:rsidRPr="00DA5E42" w:rsidRDefault="00021168" w:rsidP="00DA5E42">
      <w:pPr>
        <w:pStyle w:val="ListParagraph"/>
        <w:numPr>
          <w:ilvl w:val="0"/>
          <w:numId w:val="1"/>
        </w:numPr>
        <w:jc w:val="both"/>
        <w:rPr>
          <w:b/>
        </w:rPr>
      </w:pPr>
      <w:r w:rsidRPr="00DA5E42">
        <w:rPr>
          <w:b/>
        </w:rPr>
        <w:t>POSEBNI DIO</w:t>
      </w:r>
      <w:r w:rsidR="00DA5E42">
        <w:rPr>
          <w:b/>
        </w:rPr>
        <w:t xml:space="preserve"> PRORAČUNA</w:t>
      </w:r>
    </w:p>
    <w:p w:rsidR="00021168" w:rsidRDefault="00021168" w:rsidP="00465DDD">
      <w:pPr>
        <w:jc w:val="both"/>
      </w:pPr>
      <w:r>
        <w:lastRenderedPageBreak/>
        <w:t xml:space="preserve">U </w:t>
      </w:r>
      <w:r w:rsidRPr="00D163D2">
        <w:rPr>
          <w:b/>
        </w:rPr>
        <w:t>posebnom dijelu proračuna</w:t>
      </w:r>
      <w:r>
        <w:t xml:space="preserve"> podaci planiranih rashoda i izdataka raspoređeni su na način da se poštuju sve zakonom propisane klasifikacije:</w:t>
      </w:r>
    </w:p>
    <w:p w:rsidR="00021168" w:rsidRDefault="00021168" w:rsidP="00465DDD">
      <w:pPr>
        <w:jc w:val="both"/>
      </w:pPr>
      <w:r>
        <w:t>-Organizacijska</w:t>
      </w:r>
    </w:p>
    <w:p w:rsidR="00021168" w:rsidRDefault="00021168" w:rsidP="00465DDD">
      <w:pPr>
        <w:jc w:val="both"/>
      </w:pPr>
      <w:r>
        <w:t>-Ekonomska</w:t>
      </w:r>
    </w:p>
    <w:p w:rsidR="00021168" w:rsidRDefault="00021168" w:rsidP="00465DDD">
      <w:pPr>
        <w:jc w:val="both"/>
      </w:pPr>
      <w:r>
        <w:t>-Funkcijska</w:t>
      </w:r>
    </w:p>
    <w:p w:rsidR="00021168" w:rsidRDefault="00021168" w:rsidP="00465DDD">
      <w:pPr>
        <w:jc w:val="both"/>
      </w:pPr>
      <w:r>
        <w:t>-Programska</w:t>
      </w:r>
    </w:p>
    <w:p w:rsidR="00021168" w:rsidRDefault="00021168" w:rsidP="00465DDD">
      <w:pPr>
        <w:jc w:val="both"/>
      </w:pPr>
      <w:r>
        <w:t>-Izvori financiranja</w:t>
      </w:r>
    </w:p>
    <w:p w:rsidR="00021168" w:rsidRDefault="00021168" w:rsidP="00465DDD">
      <w:pPr>
        <w:jc w:val="both"/>
      </w:pPr>
    </w:p>
    <w:p w:rsidR="00F8739A" w:rsidRDefault="00F8739A" w:rsidP="00465DDD">
      <w:pPr>
        <w:jc w:val="both"/>
        <w:rPr>
          <w:b/>
        </w:rPr>
      </w:pPr>
      <w:r w:rsidRPr="00C0117E">
        <w:rPr>
          <w:b/>
        </w:rPr>
        <w:t xml:space="preserve">RAZDJEL 001- </w:t>
      </w:r>
      <w:r w:rsidR="00D163D2">
        <w:rPr>
          <w:b/>
        </w:rPr>
        <w:t>KNJIŽNICA I ČITAONICA</w:t>
      </w:r>
      <w:r w:rsidRPr="00C0117E">
        <w:rPr>
          <w:b/>
        </w:rPr>
        <w:t xml:space="preserve"> KOTORIBA</w:t>
      </w:r>
    </w:p>
    <w:p w:rsidR="00D163D2" w:rsidRDefault="00D163D2" w:rsidP="00465DDD">
      <w:pPr>
        <w:jc w:val="both"/>
      </w:pPr>
      <w:r w:rsidRPr="00D163D2">
        <w:t xml:space="preserve">U ovo vrijeme </w:t>
      </w:r>
      <w:r w:rsidR="00FD1CFB">
        <w:t>kada su gotovo sve informacije dostupne putem interneta t se govori da je potreba za tiskanom riječi sve manja Knjižnica i čitaonica Kotoriba upjela je zadržati vjernu čitalačku publiku i to ponajprije velikim izborom knjiga. Knjižnica na svojem odjelu beletristike nudi najnovije i najprodavanjie naslovekako hrvatske tako i svjetske književnosti.Dječji odjel osim slikovnica za najmlađe, naslova lektire, dječjih enciklopedija nudi i mnoštvo knjiga za mlade koje su trenutno hit u svijetu pa za njih nerijetko postoje i lista čekanja.</w:t>
      </w:r>
      <w:r w:rsidR="00DA5E42">
        <w:t xml:space="preserve"> U Knjižnici i čitaonici Kotoriba može se potražiti stručna literatura za izrađivanje plakata ili raznih pisanih radova za školarce, ali i za studente.</w:t>
      </w:r>
    </w:p>
    <w:p w:rsidR="00DA5E42" w:rsidRDefault="00DA5E42" w:rsidP="00465DDD">
      <w:pPr>
        <w:jc w:val="both"/>
      </w:pPr>
      <w:r>
        <w:t>Knjižnica će u razdoblju 2026.-2028. razvijati i jačati funkciju kulturnog centra mjesta kako bi se mještanima Kotoribe osigurao kvalitetan pristup znanju i informacijama za potrebe obrazovanja i stručnog rada.</w:t>
      </w:r>
    </w:p>
    <w:p w:rsidR="004C309B" w:rsidRDefault="00DA5E42" w:rsidP="00465DDD">
      <w:pPr>
        <w:jc w:val="both"/>
      </w:pPr>
      <w:r>
        <w:t>Posebna pozornost posvećivat će se književom radu s djecom, posebno vrtićke i predškolske dobi</w:t>
      </w:r>
      <w:r w:rsidR="004C309B">
        <w:t>, kako bi se povećao interes za knjigu kod najmlađih. Knjige i slična literatura se nabavljaju donacijom Ministarstva kulture i iz proračuna Općine Kotoriba. Knjižnica i čitaonica Kotoriba može se pohvaliti ostavštinom pisca i moreplovca Jože Horvata.</w:t>
      </w:r>
    </w:p>
    <w:p w:rsidR="004C309B" w:rsidRDefault="004C309B" w:rsidP="00465DDD">
      <w:pPr>
        <w:jc w:val="both"/>
      </w:pPr>
      <w:r>
        <w:t>Poticati će se stručno obrazovanje i usavršavanje knjižničara što je zakonska obaveza , ali i pretpostavka kvalitetnijeg rada Knjižnice.</w:t>
      </w:r>
    </w:p>
    <w:p w:rsidR="004C309B" w:rsidRDefault="004C309B" w:rsidP="00465DDD">
      <w:pPr>
        <w:jc w:val="both"/>
      </w:pPr>
      <w:r>
        <w:t xml:space="preserve">Za neometano odijanje </w:t>
      </w:r>
    </w:p>
    <w:p w:rsidR="004C309B" w:rsidRDefault="004C309B" w:rsidP="00465DDD">
      <w:pPr>
        <w:jc w:val="both"/>
      </w:pPr>
      <w:r>
        <w:t>Ovih knjižničnih zadataka neophodne su kadrovske i prostorne pretpostavke.</w:t>
      </w:r>
    </w:p>
    <w:p w:rsidR="004C309B" w:rsidRPr="005209FA" w:rsidRDefault="004C309B" w:rsidP="00465DDD">
      <w:pPr>
        <w:jc w:val="both"/>
        <w:rPr>
          <w:b/>
        </w:rPr>
      </w:pPr>
      <w:r w:rsidRPr="005209FA">
        <w:rPr>
          <w:b/>
        </w:rPr>
        <w:t>PROGRAM 1001 KNJIŽNIČNA DJELATNOST</w:t>
      </w:r>
    </w:p>
    <w:p w:rsidR="004C309B" w:rsidRPr="005209FA" w:rsidRDefault="004C309B" w:rsidP="00465DDD">
      <w:pPr>
        <w:jc w:val="both"/>
        <w:rPr>
          <w:b/>
        </w:rPr>
      </w:pPr>
      <w:r w:rsidRPr="005209FA">
        <w:rPr>
          <w:b/>
        </w:rPr>
        <w:t>1001A100001 Redovna djelatnost</w:t>
      </w:r>
    </w:p>
    <w:p w:rsidR="004C309B" w:rsidRDefault="004C309B" w:rsidP="00465DDD">
      <w:pPr>
        <w:jc w:val="both"/>
      </w:pPr>
      <w:r>
        <w:t xml:space="preserve">Plaća za djelatnika se isplaćuje u skladu s Odlukom o osnovici za obračun plaće i popisu poslova Ravnatelja u Knjižnici i čitaonici Kotoriba, a koja je donesena 20.11.2020. godine, a ostali temeljem Pravilnika o plaćama i materijalnim pravima stručnog knjižnog osobla Knjižnice i čitaonice Kotoriba od 16.11.2020. godine. </w:t>
      </w:r>
    </w:p>
    <w:p w:rsidR="004C309B" w:rsidRDefault="004C309B" w:rsidP="00465DDD">
      <w:pPr>
        <w:jc w:val="both"/>
      </w:pPr>
      <w:r>
        <w:t>Obrazloženje financijskog plana po izvorima</w:t>
      </w:r>
    </w:p>
    <w:p w:rsidR="004C309B" w:rsidRDefault="004C309B" w:rsidP="00465DDD">
      <w:pPr>
        <w:jc w:val="both"/>
      </w:pPr>
      <w:r>
        <w:t>Planirani rashodi odnose se na plaću i naknade za zaposlenog, uredski materijal</w:t>
      </w:r>
      <w:r w:rsidR="00B15FB0">
        <w:t xml:space="preserve"> i ostale materijalne rashode, energiju, rashode za usluge financijke rashode, financijskim institucijama za bankarske usluge. Cilj je osigurati sredstva za izdatke zaposlenog djelatnika, za materijalne i financijske rashode te za stalno stručno osposobljavanje knjižničarkog djelatnika.</w:t>
      </w:r>
    </w:p>
    <w:p w:rsidR="00B15FB0" w:rsidRDefault="00B15FB0" w:rsidP="00465DDD">
      <w:pPr>
        <w:jc w:val="both"/>
      </w:pPr>
      <w:r>
        <w:lastRenderedPageBreak/>
        <w:t>Planirani izvori financiranja su: Izvor 1102 Opći prihodi i primici-korisnici Knjižnica i čitaonica</w:t>
      </w:r>
    </w:p>
    <w:p w:rsidR="005209FA" w:rsidRPr="005209FA" w:rsidRDefault="00B15FB0" w:rsidP="00B941D9">
      <w:pPr>
        <w:jc w:val="both"/>
      </w:pPr>
      <w:r>
        <w:t>Planirani izvori financiranja su: Izvor 5202 Ostale pomoći Ministarstva kulture-korisnici Knjižnica i čitaonica</w:t>
      </w:r>
    </w:p>
    <w:p w:rsidR="005209FA" w:rsidRPr="009E626D" w:rsidRDefault="005209FA" w:rsidP="009E626D">
      <w:pPr>
        <w:jc w:val="center"/>
        <w:rPr>
          <w:b/>
        </w:rPr>
      </w:pPr>
      <w:r w:rsidRPr="009E626D">
        <w:rPr>
          <w:b/>
        </w:rPr>
        <w:t>PRIHODI I PRIMICI</w:t>
      </w:r>
    </w:p>
    <w:p w:rsidR="005209FA" w:rsidRDefault="005209FA" w:rsidP="00465DDD">
      <w:pPr>
        <w:jc w:val="both"/>
      </w:pPr>
      <w:r w:rsidRPr="009E626D">
        <w:rPr>
          <w:b/>
        </w:rPr>
        <w:t>Kapitalne pomoći iz državnog proračuna 63321</w:t>
      </w:r>
      <w:r>
        <w:t xml:space="preserve"> prihodi od Ministarstva kulture za opremu u knjižnici, zaknjižnu i neknjižnu građu te pomoć za nabavu informatičke opreme u iznosu od 44.000,00 eura.</w:t>
      </w:r>
    </w:p>
    <w:p w:rsidR="005209FA" w:rsidRDefault="009E626D" w:rsidP="00465DDD">
      <w:pPr>
        <w:jc w:val="both"/>
      </w:pPr>
      <w:r w:rsidRPr="009E626D">
        <w:rPr>
          <w:b/>
        </w:rPr>
        <w:t>Prihodi od upravnih i administrativnih pristojbi 65</w:t>
      </w:r>
      <w:r>
        <w:t>- članarine od korisnika Knjižnice i čitaonice</w:t>
      </w:r>
    </w:p>
    <w:p w:rsidR="009E626D" w:rsidRDefault="00C67DDA" w:rsidP="00465DDD">
      <w:pPr>
        <w:jc w:val="both"/>
      </w:pPr>
      <w:r w:rsidRPr="000E14F4">
        <w:rPr>
          <w:b/>
        </w:rPr>
        <w:t xml:space="preserve">Prihodi od </w:t>
      </w:r>
      <w:r w:rsidR="000E14F4" w:rsidRPr="000E14F4">
        <w:rPr>
          <w:b/>
        </w:rPr>
        <w:t>općinskog proračuna za financiranje rashoda za nabavu nefinancijske imovine 67121</w:t>
      </w:r>
      <w:r w:rsidR="000E14F4">
        <w:t xml:space="preserve"> su prihodi od općinskog proračuna za adaptaciju i dogradnju stubišta Knjižnice i čitaonice te prihoda za kupnju knjiga</w:t>
      </w:r>
      <w:r w:rsidR="00B941D9">
        <w:t xml:space="preserve"> u iznosu od 115.000,00 eura.</w:t>
      </w:r>
    </w:p>
    <w:p w:rsidR="000E14F4" w:rsidRDefault="000E14F4" w:rsidP="000E14F4">
      <w:pPr>
        <w:jc w:val="center"/>
        <w:rPr>
          <w:b/>
        </w:rPr>
      </w:pPr>
      <w:r w:rsidRPr="000E14F4">
        <w:rPr>
          <w:b/>
        </w:rPr>
        <w:t>RASHODI I IZDACI</w:t>
      </w:r>
    </w:p>
    <w:p w:rsidR="00B941D9" w:rsidRDefault="00B941D9" w:rsidP="00B941D9">
      <w:r>
        <w:rPr>
          <w:b/>
        </w:rPr>
        <w:t xml:space="preserve">Rashodi za zaposlene 31 </w:t>
      </w:r>
      <w:r w:rsidRPr="00B941D9">
        <w:t>spadaju plaća za redovan rad zaposlenika, doprinos za obvezno zdravstveno osiguranje te ostali rashodi za zaposlene</w:t>
      </w:r>
      <w:r>
        <w:t xml:space="preserve"> planira se 27.100,00 eura.</w:t>
      </w:r>
    </w:p>
    <w:p w:rsidR="00B941D9" w:rsidRDefault="00B941D9" w:rsidP="00B941D9">
      <w:r w:rsidRPr="00B941D9">
        <w:rPr>
          <w:b/>
        </w:rPr>
        <w:t>Materijalni rashodi 32</w:t>
      </w:r>
      <w:r>
        <w:rPr>
          <w:b/>
        </w:rPr>
        <w:t xml:space="preserve"> </w:t>
      </w:r>
      <w:r w:rsidRPr="00B941D9">
        <w:t>stručno usavršavanje, službena putovanja, materijal i sredstva za čišćenje i održavanje, energija planira se potrošiti 10.500,00 eura.</w:t>
      </w:r>
    </w:p>
    <w:p w:rsidR="00B941D9" w:rsidRDefault="003A6136" w:rsidP="00B941D9">
      <w:r w:rsidRPr="003A6136">
        <w:rPr>
          <w:b/>
        </w:rPr>
        <w:t>Ra</w:t>
      </w:r>
      <w:r>
        <w:rPr>
          <w:b/>
        </w:rPr>
        <w:t>s</w:t>
      </w:r>
      <w:r w:rsidRPr="003A6136">
        <w:rPr>
          <w:b/>
        </w:rPr>
        <w:t xml:space="preserve">hodi za usluge 323 </w:t>
      </w:r>
      <w:r>
        <w:rPr>
          <w:b/>
        </w:rPr>
        <w:t xml:space="preserve"> </w:t>
      </w:r>
      <w:r w:rsidRPr="003A6136">
        <w:t>su usluge telefona, komunalne usluge, intelektualne usluge, pristojbe i naknade, ostali nespomenuti rashodi poslovanja planirani iznos 3.500,00 eura.</w:t>
      </w:r>
    </w:p>
    <w:p w:rsidR="003A6136" w:rsidRDefault="003A6136" w:rsidP="00B941D9">
      <w:r w:rsidRPr="003A6136">
        <w:rPr>
          <w:b/>
        </w:rPr>
        <w:t>Bankarske usluge i usluge platnog prometa 3431</w:t>
      </w:r>
      <w:r>
        <w:rPr>
          <w:b/>
        </w:rPr>
        <w:t xml:space="preserve"> </w:t>
      </w:r>
      <w:r w:rsidRPr="003A6136">
        <w:t>planirano 400,00 eura.</w:t>
      </w:r>
    </w:p>
    <w:p w:rsidR="005C0D6D" w:rsidRDefault="00A53F14" w:rsidP="00B941D9">
      <w:r w:rsidRPr="00A53F14">
        <w:rPr>
          <w:b/>
        </w:rPr>
        <w:t>Rashodi za nabavu neproizvedene dugotrajne imovine 41</w:t>
      </w:r>
      <w:r>
        <w:t xml:space="preserve"> ulaganje u dogradnju zgrade Knjižnice i čitaonice planirani iznos 100.000,00 eura.</w:t>
      </w:r>
    </w:p>
    <w:p w:rsidR="00A53F14" w:rsidRPr="00A53F14" w:rsidRDefault="00A53F14" w:rsidP="00B941D9">
      <w:r w:rsidRPr="00A53F14">
        <w:rPr>
          <w:b/>
        </w:rPr>
        <w:t>Rashodi za nabavu proizvedene dugotrajne imovine 42</w:t>
      </w:r>
      <w:r>
        <w:rPr>
          <w:b/>
        </w:rPr>
        <w:t xml:space="preserve"> </w:t>
      </w:r>
      <w:r w:rsidRPr="00A53F14">
        <w:t>rashodi za uredsku opremu i namještaj , rashodi za knjige iznos od 57.200,00 eura</w:t>
      </w:r>
      <w:r>
        <w:t>.</w:t>
      </w:r>
    </w:p>
    <w:p w:rsidR="000E14F4" w:rsidRPr="000E14F4" w:rsidRDefault="000E14F4" w:rsidP="00A53F14">
      <w:pPr>
        <w:rPr>
          <w:b/>
        </w:rPr>
      </w:pPr>
    </w:p>
    <w:p w:rsidR="00B941D9" w:rsidRPr="005209FA" w:rsidRDefault="00B941D9" w:rsidP="00B941D9">
      <w:pPr>
        <w:pStyle w:val="ListParagraph"/>
        <w:numPr>
          <w:ilvl w:val="0"/>
          <w:numId w:val="1"/>
        </w:numPr>
        <w:jc w:val="both"/>
        <w:rPr>
          <w:b/>
        </w:rPr>
      </w:pPr>
      <w:r w:rsidRPr="005209FA">
        <w:rPr>
          <w:b/>
        </w:rPr>
        <w:t>IZVJEŠTAJ O ZADUŽIVANJU</w:t>
      </w:r>
    </w:p>
    <w:p w:rsidR="00B941D9" w:rsidRPr="005209FA" w:rsidRDefault="00B941D9" w:rsidP="00B941D9">
      <w:pPr>
        <w:jc w:val="both"/>
      </w:pPr>
      <w:r>
        <w:t>Knjižnica i čitaonica</w:t>
      </w:r>
      <w:r w:rsidRPr="005209FA">
        <w:t xml:space="preserve"> Kotoriba se nije kreditno zaduživa</w:t>
      </w:r>
      <w:r>
        <w:t>la</w:t>
      </w:r>
      <w:r w:rsidRPr="005209FA">
        <w:t>.</w:t>
      </w:r>
    </w:p>
    <w:p w:rsidR="00B941D9" w:rsidRPr="005209FA" w:rsidRDefault="00B941D9" w:rsidP="00B941D9">
      <w:pPr>
        <w:numPr>
          <w:ilvl w:val="0"/>
          <w:numId w:val="1"/>
        </w:numPr>
        <w:contextualSpacing/>
        <w:jc w:val="both"/>
        <w:rPr>
          <w:b/>
        </w:rPr>
      </w:pPr>
      <w:r w:rsidRPr="005209FA">
        <w:rPr>
          <w:b/>
        </w:rPr>
        <w:t>IZVJEŠTAJ O KORIŠTENJU PRORAČUNSKE ZALIHE</w:t>
      </w:r>
    </w:p>
    <w:p w:rsidR="00B941D9" w:rsidRPr="005209FA" w:rsidRDefault="00B941D9" w:rsidP="00B941D9">
      <w:pPr>
        <w:jc w:val="both"/>
      </w:pPr>
      <w:r>
        <w:t>Knjižnica i čitaonica Kotoriba</w:t>
      </w:r>
      <w:r w:rsidRPr="005209FA">
        <w:t xml:space="preserve"> nije koristi</w:t>
      </w:r>
      <w:r>
        <w:t>la</w:t>
      </w:r>
      <w:r w:rsidRPr="005209FA">
        <w:t xml:space="preserve"> proračunsku zalihu.</w:t>
      </w:r>
    </w:p>
    <w:p w:rsidR="00B941D9" w:rsidRPr="005209FA" w:rsidRDefault="00B941D9" w:rsidP="00B941D9">
      <w:pPr>
        <w:numPr>
          <w:ilvl w:val="0"/>
          <w:numId w:val="1"/>
        </w:numPr>
        <w:contextualSpacing/>
        <w:jc w:val="both"/>
        <w:rPr>
          <w:b/>
        </w:rPr>
      </w:pPr>
      <w:r w:rsidRPr="005209FA">
        <w:rPr>
          <w:b/>
        </w:rPr>
        <w:t>IZVJEŠTAJ O DANIM JAMSTVIMA</w:t>
      </w:r>
    </w:p>
    <w:p w:rsidR="00B941D9" w:rsidRPr="005209FA" w:rsidRDefault="00B941D9" w:rsidP="00B941D9">
      <w:pPr>
        <w:jc w:val="both"/>
      </w:pPr>
      <w:r>
        <w:t>Knjižnica i čitaonica</w:t>
      </w:r>
      <w:r w:rsidRPr="005209FA">
        <w:t xml:space="preserve"> Kotoriba ne daje jamstva.</w:t>
      </w:r>
    </w:p>
    <w:p w:rsidR="00B941D9" w:rsidRPr="005209FA" w:rsidRDefault="00B941D9" w:rsidP="00B941D9">
      <w:pPr>
        <w:numPr>
          <w:ilvl w:val="0"/>
          <w:numId w:val="1"/>
        </w:numPr>
        <w:contextualSpacing/>
        <w:jc w:val="both"/>
        <w:rPr>
          <w:b/>
        </w:rPr>
      </w:pPr>
      <w:r w:rsidRPr="005209FA">
        <w:rPr>
          <w:b/>
        </w:rPr>
        <w:t>OBRAZLOŽENJE OSTVARENJA PRIHODA I PRIMITAKA, REALIZACIJA RASHODA I IZDATAKA</w:t>
      </w:r>
    </w:p>
    <w:p w:rsidR="00F928D9" w:rsidRDefault="00B941D9" w:rsidP="00465DDD">
      <w:pPr>
        <w:jc w:val="both"/>
      </w:pPr>
      <w:r w:rsidRPr="005209FA">
        <w:t>Obrazlažu se prihodi navedeni u Općem dijelu proračuna i rashodi i izdaci navedeni u Izvještaju po programskoj klasifikaciji u Posebnom dijelu proračuna.</w:t>
      </w:r>
      <w:bookmarkStart w:id="0" w:name="_GoBack"/>
      <w:bookmarkEnd w:id="0"/>
    </w:p>
    <w:p w:rsidR="00F928D9" w:rsidRDefault="00F928D9" w:rsidP="00465DDD">
      <w:pPr>
        <w:jc w:val="both"/>
      </w:pPr>
    </w:p>
    <w:p w:rsidR="00B15FB0" w:rsidRPr="00A53F14" w:rsidRDefault="00B15FB0" w:rsidP="00465DDD">
      <w:pPr>
        <w:jc w:val="both"/>
        <w:rPr>
          <w:b/>
        </w:rPr>
      </w:pPr>
      <w:r w:rsidRPr="00A53F14">
        <w:rPr>
          <w:b/>
        </w:rPr>
        <w:t>K100101 Nabava knjižne građe</w:t>
      </w:r>
    </w:p>
    <w:p w:rsidR="00B15FB0" w:rsidRDefault="00B15FB0" w:rsidP="00465DDD">
      <w:pPr>
        <w:jc w:val="both"/>
      </w:pPr>
      <w:r>
        <w:t>Nabava knjižne građe jedna je od temeljnih zadaća svake knjižnice, od koje ovisikorištenje knjižnice i zadovoljstvo korisnika.Zasniva se na kupnji knjiga, slikovnica  i serijskih publikacija.</w:t>
      </w:r>
    </w:p>
    <w:p w:rsidR="00B15FB0" w:rsidRDefault="00B15FB0" w:rsidP="00465DDD">
      <w:pPr>
        <w:jc w:val="both"/>
      </w:pPr>
      <w:r>
        <w:lastRenderedPageBreak/>
        <w:t>Cilj je zadovoljiti porebe za obrazovanjem, učenjem, školovanjem i razonodom.</w:t>
      </w:r>
    </w:p>
    <w:p w:rsidR="00B15FB0" w:rsidRDefault="00B15FB0" w:rsidP="00465DDD">
      <w:pPr>
        <w:jc w:val="both"/>
      </w:pPr>
      <w:r>
        <w:t xml:space="preserve">Ostvarenje cilja mjerit će se </w:t>
      </w:r>
      <w:r w:rsidR="006F0E92">
        <w:t>brojem nabavljenih knjiga i ostalih medija, a uspješnost brojem posudbi knjiga te brojem posjeta vezanih uz posudbu  knjižnične građe.</w:t>
      </w:r>
    </w:p>
    <w:p w:rsidR="006F0E92" w:rsidRDefault="006F0E92" w:rsidP="00465DDD">
      <w:pPr>
        <w:jc w:val="both"/>
      </w:pPr>
      <w:r>
        <w:t>Za ostvarenje ovog cilja potrebna je financijska pomoć Ministarstva kulture RH i Općine Kotoriba.</w:t>
      </w:r>
    </w:p>
    <w:p w:rsidR="006F0E92" w:rsidRDefault="006F0E92" w:rsidP="00465DDD">
      <w:pPr>
        <w:jc w:val="both"/>
      </w:pPr>
      <w:r>
        <w:t>I nadalje ćemo održavati standard narodne knjižnice te ćemo nastojati povećati fond na više od 16.000 svezaka knjiga.</w:t>
      </w:r>
    </w:p>
    <w:p w:rsidR="006F0E92" w:rsidRPr="00A53F14" w:rsidRDefault="006F0E92" w:rsidP="00465DDD">
      <w:pPr>
        <w:jc w:val="both"/>
        <w:rPr>
          <w:b/>
        </w:rPr>
      </w:pPr>
      <w:r w:rsidRPr="00A53F14">
        <w:rPr>
          <w:b/>
        </w:rPr>
        <w:t>T100102 Adaptacija Knjižnice i čitaonice</w:t>
      </w:r>
    </w:p>
    <w:p w:rsidR="006F0E92" w:rsidRDefault="006F0E92" w:rsidP="00465DDD">
      <w:pPr>
        <w:jc w:val="both"/>
      </w:pPr>
      <w:r>
        <w:t>Kako bi se zadovoljile sve veće potrebe za proširenjem kulturne djelatnosti Knjižnice i čitaonice Kotoriba, potrebno je osigurati prostor-dvoranu gdje bi se odvijali kulturno-edukativni programi za sve dobne i obrazovne grupe građana te dječje radionice. Za rješavanje tog problema potrebno je adaptirati zgradu knjižnice i čitaonice. U 2026. godini planira se adaptacija stepeništa kako bi se mogla sigurno koristiti dvorana na katu Knjižnice i čitaonice.</w:t>
      </w:r>
    </w:p>
    <w:p w:rsidR="005209FA" w:rsidRPr="00597881" w:rsidRDefault="00334B46" w:rsidP="00465DDD">
      <w:pPr>
        <w:jc w:val="both"/>
        <w:rPr>
          <w:b/>
        </w:rPr>
      </w:pPr>
      <w:r w:rsidRPr="00597881">
        <w:rPr>
          <w:b/>
        </w:rPr>
        <w:t>Planirani prihodi:</w:t>
      </w:r>
    </w:p>
    <w:tbl>
      <w:tblPr>
        <w:tblStyle w:val="TableGrid"/>
        <w:tblW w:w="0" w:type="auto"/>
        <w:tblLook w:val="04A0" w:firstRow="1" w:lastRow="0" w:firstColumn="1" w:lastColumn="0" w:noHBand="0" w:noVBand="1"/>
      </w:tblPr>
      <w:tblGrid>
        <w:gridCol w:w="4531"/>
        <w:gridCol w:w="4531"/>
      </w:tblGrid>
      <w:tr w:rsidR="00334B46" w:rsidTr="00334B46">
        <w:tc>
          <w:tcPr>
            <w:tcW w:w="4531" w:type="dxa"/>
          </w:tcPr>
          <w:p w:rsidR="00334B46" w:rsidRDefault="00334B46" w:rsidP="00465DDD">
            <w:pPr>
              <w:jc w:val="both"/>
            </w:pPr>
            <w:r>
              <w:t>Kapitalne pomoći iz državnog proračuna</w:t>
            </w:r>
          </w:p>
        </w:tc>
        <w:tc>
          <w:tcPr>
            <w:tcW w:w="4531" w:type="dxa"/>
          </w:tcPr>
          <w:p w:rsidR="00334B46" w:rsidRDefault="00334B46" w:rsidP="00334B46">
            <w:pPr>
              <w:jc w:val="right"/>
            </w:pPr>
            <w:r>
              <w:t>44.000,00 €</w:t>
            </w:r>
          </w:p>
        </w:tc>
      </w:tr>
      <w:tr w:rsidR="00334B46" w:rsidTr="00334B46">
        <w:tc>
          <w:tcPr>
            <w:tcW w:w="4531" w:type="dxa"/>
          </w:tcPr>
          <w:p w:rsidR="00334B46" w:rsidRDefault="00334B46" w:rsidP="00465DDD">
            <w:pPr>
              <w:jc w:val="both"/>
            </w:pPr>
            <w:r>
              <w:t>Kamate na oročena sredstva</w:t>
            </w:r>
          </w:p>
        </w:tc>
        <w:tc>
          <w:tcPr>
            <w:tcW w:w="4531" w:type="dxa"/>
          </w:tcPr>
          <w:p w:rsidR="00334B46" w:rsidRDefault="00334B46" w:rsidP="00334B46">
            <w:pPr>
              <w:jc w:val="right"/>
            </w:pPr>
            <w:r>
              <w:t>100,00 €</w:t>
            </w:r>
          </w:p>
        </w:tc>
      </w:tr>
      <w:tr w:rsidR="00334B46" w:rsidTr="00334B46">
        <w:tc>
          <w:tcPr>
            <w:tcW w:w="4531" w:type="dxa"/>
          </w:tcPr>
          <w:p w:rsidR="00334B46" w:rsidRDefault="00334B46" w:rsidP="00465DDD">
            <w:pPr>
              <w:jc w:val="both"/>
            </w:pPr>
            <w:r>
              <w:t>Sufinancirenje cijene usluge-članarine</w:t>
            </w:r>
          </w:p>
        </w:tc>
        <w:tc>
          <w:tcPr>
            <w:tcW w:w="4531" w:type="dxa"/>
          </w:tcPr>
          <w:p w:rsidR="00334B46" w:rsidRDefault="00334B46" w:rsidP="00334B46">
            <w:pPr>
              <w:jc w:val="right"/>
            </w:pPr>
            <w:r>
              <w:t>700,00 €</w:t>
            </w:r>
          </w:p>
        </w:tc>
      </w:tr>
      <w:tr w:rsidR="00334B46" w:rsidTr="00334B46">
        <w:tc>
          <w:tcPr>
            <w:tcW w:w="4531" w:type="dxa"/>
          </w:tcPr>
          <w:p w:rsidR="00334B46" w:rsidRDefault="00334B46" w:rsidP="00465DDD">
            <w:pPr>
              <w:jc w:val="both"/>
            </w:pPr>
            <w:r>
              <w:t>Prihodi iz općinskog proračuna za financ.rashoda poslovanja</w:t>
            </w:r>
          </w:p>
        </w:tc>
        <w:tc>
          <w:tcPr>
            <w:tcW w:w="4531" w:type="dxa"/>
          </w:tcPr>
          <w:p w:rsidR="00334B46" w:rsidRDefault="00334B46" w:rsidP="00334B46">
            <w:pPr>
              <w:jc w:val="right"/>
            </w:pPr>
            <w:r>
              <w:t>42.200,00 €</w:t>
            </w:r>
          </w:p>
        </w:tc>
      </w:tr>
      <w:tr w:rsidR="00334B46" w:rsidTr="00334B46">
        <w:tc>
          <w:tcPr>
            <w:tcW w:w="4531" w:type="dxa"/>
          </w:tcPr>
          <w:p w:rsidR="00334B46" w:rsidRDefault="00334B46" w:rsidP="00465DDD">
            <w:pPr>
              <w:jc w:val="both"/>
            </w:pPr>
            <w:r>
              <w:t>Prihodi iz općinskog proračuna za nabavu nefinanc. imovine</w:t>
            </w:r>
          </w:p>
        </w:tc>
        <w:tc>
          <w:tcPr>
            <w:tcW w:w="4531" w:type="dxa"/>
          </w:tcPr>
          <w:p w:rsidR="00334B46" w:rsidRDefault="00334B46" w:rsidP="00334B46">
            <w:pPr>
              <w:jc w:val="right"/>
            </w:pPr>
            <w:r>
              <w:t>115.000,00 €</w:t>
            </w:r>
          </w:p>
        </w:tc>
      </w:tr>
      <w:tr w:rsidR="00334B46" w:rsidTr="00334B46">
        <w:tc>
          <w:tcPr>
            <w:tcW w:w="4531" w:type="dxa"/>
          </w:tcPr>
          <w:p w:rsidR="00334B46" w:rsidRDefault="00334B46" w:rsidP="00465DDD">
            <w:pPr>
              <w:jc w:val="both"/>
            </w:pPr>
            <w:r>
              <w:t xml:space="preserve">Ostali prihodi </w:t>
            </w:r>
          </w:p>
        </w:tc>
        <w:tc>
          <w:tcPr>
            <w:tcW w:w="4531" w:type="dxa"/>
          </w:tcPr>
          <w:p w:rsidR="00334B46" w:rsidRDefault="00334B46" w:rsidP="00334B46">
            <w:pPr>
              <w:jc w:val="right"/>
            </w:pPr>
            <w:r>
              <w:t>500,00 €</w:t>
            </w:r>
          </w:p>
        </w:tc>
      </w:tr>
      <w:tr w:rsidR="00334B46" w:rsidTr="00334B46">
        <w:tc>
          <w:tcPr>
            <w:tcW w:w="4531" w:type="dxa"/>
          </w:tcPr>
          <w:p w:rsidR="00334B46" w:rsidRPr="00334B46" w:rsidRDefault="00334B46" w:rsidP="00465DDD">
            <w:pPr>
              <w:jc w:val="both"/>
              <w:rPr>
                <w:b/>
              </w:rPr>
            </w:pPr>
            <w:r w:rsidRPr="00334B46">
              <w:rPr>
                <w:b/>
              </w:rPr>
              <w:t>Ukupno prihodi:</w:t>
            </w:r>
          </w:p>
        </w:tc>
        <w:tc>
          <w:tcPr>
            <w:tcW w:w="4531" w:type="dxa"/>
          </w:tcPr>
          <w:p w:rsidR="00334B46" w:rsidRPr="00597881" w:rsidRDefault="00334B46" w:rsidP="00334B46">
            <w:pPr>
              <w:jc w:val="right"/>
              <w:rPr>
                <w:b/>
              </w:rPr>
            </w:pPr>
            <w:r w:rsidRPr="00597881">
              <w:rPr>
                <w:b/>
              </w:rPr>
              <w:t>202.500,00 €</w:t>
            </w:r>
          </w:p>
        </w:tc>
      </w:tr>
    </w:tbl>
    <w:p w:rsidR="00334B46" w:rsidRDefault="00334B46" w:rsidP="00465DDD">
      <w:pPr>
        <w:jc w:val="both"/>
      </w:pPr>
    </w:p>
    <w:p w:rsidR="00334B46" w:rsidRPr="00597881" w:rsidRDefault="00334B46" w:rsidP="00465DDD">
      <w:pPr>
        <w:jc w:val="both"/>
        <w:rPr>
          <w:b/>
        </w:rPr>
      </w:pPr>
      <w:r w:rsidRPr="00597881">
        <w:rPr>
          <w:b/>
        </w:rPr>
        <w:t>Planirani rashodi:</w:t>
      </w:r>
    </w:p>
    <w:tbl>
      <w:tblPr>
        <w:tblStyle w:val="TableGrid"/>
        <w:tblW w:w="0" w:type="auto"/>
        <w:tblLook w:val="04A0" w:firstRow="1" w:lastRow="0" w:firstColumn="1" w:lastColumn="0" w:noHBand="0" w:noVBand="1"/>
      </w:tblPr>
      <w:tblGrid>
        <w:gridCol w:w="4531"/>
        <w:gridCol w:w="4531"/>
      </w:tblGrid>
      <w:tr w:rsidR="00334B46" w:rsidTr="00334B46">
        <w:tc>
          <w:tcPr>
            <w:tcW w:w="4531" w:type="dxa"/>
          </w:tcPr>
          <w:p w:rsidR="00334B46" w:rsidRDefault="00334B46" w:rsidP="00465DDD">
            <w:pPr>
              <w:jc w:val="both"/>
            </w:pPr>
            <w:r>
              <w:t xml:space="preserve">Plaća </w:t>
            </w:r>
            <w:r w:rsidR="00597881">
              <w:t>i</w:t>
            </w:r>
            <w:r>
              <w:t xml:space="preserve"> obvezno zdravstveno osiguranje</w:t>
            </w:r>
          </w:p>
        </w:tc>
        <w:tc>
          <w:tcPr>
            <w:tcW w:w="4531" w:type="dxa"/>
          </w:tcPr>
          <w:p w:rsidR="00334B46" w:rsidRDefault="00334B46" w:rsidP="00597881">
            <w:pPr>
              <w:jc w:val="right"/>
            </w:pPr>
            <w:r>
              <w:t>31.700,00 €</w:t>
            </w:r>
          </w:p>
        </w:tc>
      </w:tr>
      <w:tr w:rsidR="00334B46" w:rsidTr="00334B46">
        <w:tc>
          <w:tcPr>
            <w:tcW w:w="4531" w:type="dxa"/>
          </w:tcPr>
          <w:p w:rsidR="00334B46" w:rsidRDefault="00597881" w:rsidP="00465DDD">
            <w:pPr>
              <w:jc w:val="both"/>
            </w:pPr>
            <w:r>
              <w:t>Ostali rashodi za zaposlene</w:t>
            </w:r>
          </w:p>
        </w:tc>
        <w:tc>
          <w:tcPr>
            <w:tcW w:w="4531" w:type="dxa"/>
          </w:tcPr>
          <w:p w:rsidR="00334B46" w:rsidRDefault="00597881" w:rsidP="00597881">
            <w:pPr>
              <w:jc w:val="right"/>
            </w:pPr>
            <w:r>
              <w:t>2.700,00 €</w:t>
            </w:r>
          </w:p>
        </w:tc>
      </w:tr>
      <w:tr w:rsidR="00334B46" w:rsidTr="00334B46">
        <w:tc>
          <w:tcPr>
            <w:tcW w:w="4531" w:type="dxa"/>
          </w:tcPr>
          <w:p w:rsidR="00334B46" w:rsidRDefault="00597881" w:rsidP="00465DDD">
            <w:pPr>
              <w:jc w:val="both"/>
            </w:pPr>
            <w:r>
              <w:t>Naknade troškova zaposlenom</w:t>
            </w:r>
          </w:p>
        </w:tc>
        <w:tc>
          <w:tcPr>
            <w:tcW w:w="4531" w:type="dxa"/>
          </w:tcPr>
          <w:p w:rsidR="00334B46" w:rsidRDefault="00597881" w:rsidP="00597881">
            <w:pPr>
              <w:jc w:val="right"/>
            </w:pPr>
            <w:r>
              <w:t>300,00 €</w:t>
            </w:r>
          </w:p>
        </w:tc>
      </w:tr>
      <w:tr w:rsidR="00334B46" w:rsidTr="00334B46">
        <w:tc>
          <w:tcPr>
            <w:tcW w:w="4531" w:type="dxa"/>
          </w:tcPr>
          <w:p w:rsidR="00334B46" w:rsidRDefault="00597881" w:rsidP="00465DDD">
            <w:pPr>
              <w:jc w:val="both"/>
            </w:pPr>
            <w:r>
              <w:t>Rashodi za materijal i energiju</w:t>
            </w:r>
          </w:p>
        </w:tc>
        <w:tc>
          <w:tcPr>
            <w:tcW w:w="4531" w:type="dxa"/>
          </w:tcPr>
          <w:p w:rsidR="00334B46" w:rsidRDefault="00597881" w:rsidP="00597881">
            <w:pPr>
              <w:jc w:val="right"/>
            </w:pPr>
            <w:r>
              <w:t>5.900,00 €</w:t>
            </w:r>
          </w:p>
        </w:tc>
      </w:tr>
      <w:tr w:rsidR="00334B46" w:rsidTr="00334B46">
        <w:tc>
          <w:tcPr>
            <w:tcW w:w="4531" w:type="dxa"/>
          </w:tcPr>
          <w:p w:rsidR="00334B46" w:rsidRDefault="00597881" w:rsidP="00465DDD">
            <w:pPr>
              <w:jc w:val="both"/>
            </w:pPr>
            <w:r>
              <w:t>Rashodi za usluge</w:t>
            </w:r>
          </w:p>
        </w:tc>
        <w:tc>
          <w:tcPr>
            <w:tcW w:w="4531" w:type="dxa"/>
          </w:tcPr>
          <w:p w:rsidR="00334B46" w:rsidRDefault="00597881" w:rsidP="00597881">
            <w:pPr>
              <w:jc w:val="right"/>
            </w:pPr>
            <w:r>
              <w:t>3.500,00 €</w:t>
            </w:r>
          </w:p>
        </w:tc>
      </w:tr>
      <w:tr w:rsidR="00334B46" w:rsidTr="00334B46">
        <w:tc>
          <w:tcPr>
            <w:tcW w:w="4531" w:type="dxa"/>
          </w:tcPr>
          <w:p w:rsidR="00334B46" w:rsidRDefault="00597881" w:rsidP="00465DDD">
            <w:pPr>
              <w:jc w:val="both"/>
            </w:pPr>
            <w:r>
              <w:t>Ostali rashodi poslovanja</w:t>
            </w:r>
          </w:p>
        </w:tc>
        <w:tc>
          <w:tcPr>
            <w:tcW w:w="4531" w:type="dxa"/>
          </w:tcPr>
          <w:p w:rsidR="00334B46" w:rsidRDefault="00597881" w:rsidP="00597881">
            <w:pPr>
              <w:jc w:val="right"/>
            </w:pPr>
            <w:r>
              <w:t>800,00 €</w:t>
            </w:r>
          </w:p>
        </w:tc>
      </w:tr>
      <w:tr w:rsidR="00334B46" w:rsidTr="00334B46">
        <w:tc>
          <w:tcPr>
            <w:tcW w:w="4531" w:type="dxa"/>
          </w:tcPr>
          <w:p w:rsidR="00334B46" w:rsidRDefault="00597881" w:rsidP="00465DDD">
            <w:pPr>
              <w:jc w:val="both"/>
            </w:pPr>
            <w:r>
              <w:t>Bankarske usluge i usluge platnog prometa</w:t>
            </w:r>
          </w:p>
        </w:tc>
        <w:tc>
          <w:tcPr>
            <w:tcW w:w="4531" w:type="dxa"/>
          </w:tcPr>
          <w:p w:rsidR="00334B46" w:rsidRDefault="00597881" w:rsidP="00597881">
            <w:pPr>
              <w:jc w:val="right"/>
            </w:pPr>
            <w:r>
              <w:t>400,00 €</w:t>
            </w:r>
          </w:p>
        </w:tc>
      </w:tr>
      <w:tr w:rsidR="00334B46" w:rsidTr="00334B46">
        <w:tc>
          <w:tcPr>
            <w:tcW w:w="4531" w:type="dxa"/>
          </w:tcPr>
          <w:p w:rsidR="00334B46" w:rsidRDefault="00597881" w:rsidP="00465DDD">
            <w:pPr>
              <w:jc w:val="both"/>
            </w:pPr>
            <w:r>
              <w:t>Nematerijalna imovina</w:t>
            </w:r>
          </w:p>
        </w:tc>
        <w:tc>
          <w:tcPr>
            <w:tcW w:w="4531" w:type="dxa"/>
          </w:tcPr>
          <w:p w:rsidR="00334B46" w:rsidRDefault="00597881" w:rsidP="00597881">
            <w:pPr>
              <w:jc w:val="right"/>
            </w:pPr>
            <w:r>
              <w:t>100.000,00 €</w:t>
            </w:r>
          </w:p>
        </w:tc>
      </w:tr>
      <w:tr w:rsidR="00597881" w:rsidTr="00334B46">
        <w:tc>
          <w:tcPr>
            <w:tcW w:w="4531" w:type="dxa"/>
          </w:tcPr>
          <w:p w:rsidR="00597881" w:rsidRDefault="00597881" w:rsidP="00465DDD">
            <w:pPr>
              <w:jc w:val="both"/>
            </w:pPr>
            <w:r>
              <w:t>Uredska oprema i namještaj</w:t>
            </w:r>
          </w:p>
        </w:tc>
        <w:tc>
          <w:tcPr>
            <w:tcW w:w="4531" w:type="dxa"/>
          </w:tcPr>
          <w:p w:rsidR="00597881" w:rsidRDefault="00597881" w:rsidP="00597881">
            <w:pPr>
              <w:jc w:val="right"/>
            </w:pPr>
            <w:r>
              <w:t>34.000,00 €</w:t>
            </w:r>
          </w:p>
        </w:tc>
      </w:tr>
      <w:tr w:rsidR="00597881" w:rsidTr="00334B46">
        <w:tc>
          <w:tcPr>
            <w:tcW w:w="4531" w:type="dxa"/>
          </w:tcPr>
          <w:p w:rsidR="00597881" w:rsidRDefault="00597881" w:rsidP="00465DDD">
            <w:pPr>
              <w:jc w:val="both"/>
            </w:pPr>
            <w:r>
              <w:t>Knjige</w:t>
            </w:r>
          </w:p>
        </w:tc>
        <w:tc>
          <w:tcPr>
            <w:tcW w:w="4531" w:type="dxa"/>
          </w:tcPr>
          <w:p w:rsidR="00597881" w:rsidRDefault="00597881" w:rsidP="00597881">
            <w:pPr>
              <w:jc w:val="right"/>
            </w:pPr>
            <w:r>
              <w:t>23.000,00 €</w:t>
            </w:r>
          </w:p>
        </w:tc>
      </w:tr>
      <w:tr w:rsidR="00597881" w:rsidTr="00334B46">
        <w:tc>
          <w:tcPr>
            <w:tcW w:w="4531" w:type="dxa"/>
          </w:tcPr>
          <w:p w:rsidR="00597881" w:rsidRDefault="00597881" w:rsidP="00465DDD">
            <w:pPr>
              <w:jc w:val="both"/>
            </w:pPr>
            <w:r>
              <w:t>Ulaganje u računalne programe</w:t>
            </w:r>
          </w:p>
        </w:tc>
        <w:tc>
          <w:tcPr>
            <w:tcW w:w="4531" w:type="dxa"/>
          </w:tcPr>
          <w:p w:rsidR="00597881" w:rsidRDefault="00597881" w:rsidP="00597881">
            <w:pPr>
              <w:jc w:val="right"/>
            </w:pPr>
            <w:r>
              <w:t>200,00 €</w:t>
            </w:r>
          </w:p>
        </w:tc>
      </w:tr>
      <w:tr w:rsidR="00597881" w:rsidTr="00334B46">
        <w:tc>
          <w:tcPr>
            <w:tcW w:w="4531" w:type="dxa"/>
          </w:tcPr>
          <w:p w:rsidR="00597881" w:rsidRPr="00597881" w:rsidRDefault="00597881" w:rsidP="00465DDD">
            <w:pPr>
              <w:jc w:val="both"/>
              <w:rPr>
                <w:b/>
              </w:rPr>
            </w:pPr>
            <w:r w:rsidRPr="00597881">
              <w:rPr>
                <w:b/>
              </w:rPr>
              <w:t>Ukupno rashodi:</w:t>
            </w:r>
          </w:p>
        </w:tc>
        <w:tc>
          <w:tcPr>
            <w:tcW w:w="4531" w:type="dxa"/>
          </w:tcPr>
          <w:p w:rsidR="00597881" w:rsidRPr="00597881" w:rsidRDefault="00597881" w:rsidP="00597881">
            <w:pPr>
              <w:jc w:val="right"/>
              <w:rPr>
                <w:b/>
              </w:rPr>
            </w:pPr>
            <w:r w:rsidRPr="00597881">
              <w:rPr>
                <w:b/>
              </w:rPr>
              <w:t>202.500,00 €</w:t>
            </w:r>
          </w:p>
        </w:tc>
      </w:tr>
    </w:tbl>
    <w:p w:rsidR="005209FA" w:rsidRDefault="005209FA" w:rsidP="00465DDD">
      <w:pPr>
        <w:jc w:val="both"/>
      </w:pPr>
    </w:p>
    <w:p w:rsidR="00391D91" w:rsidRPr="00C0117E" w:rsidRDefault="00D577AC" w:rsidP="00465DDD">
      <w:pPr>
        <w:jc w:val="both"/>
        <w:rPr>
          <w:b/>
        </w:rPr>
      </w:pPr>
      <w:r w:rsidRPr="00C0117E">
        <w:rPr>
          <w:b/>
        </w:rPr>
        <w:t>POKAZATELJ USPJEŠNOSTI</w:t>
      </w:r>
    </w:p>
    <w:p w:rsidR="00D577AC" w:rsidRDefault="005209FA" w:rsidP="00465DDD">
      <w:pPr>
        <w:jc w:val="both"/>
      </w:pPr>
      <w:r>
        <w:t>Postupak informatizacije  cjelokupne knjižne građe je dovršen. Prostor Knjižnice i čitaonice Kotoriba dobro je opremljen te je posebno opremljen prostor za djecu. Radom knjižnice zadovoljni su korisnici. Radno vrijeme knjižnice prilagođeno je potrebama korisnika. Osigurana su sredstva za izdatke zaposlenog djelatnika, za materijalne i financijske rashode i za nabavu knjiga.</w:t>
      </w:r>
    </w:p>
    <w:p w:rsidR="00D577AC" w:rsidRDefault="00D577AC" w:rsidP="00465DDD">
      <w:pPr>
        <w:jc w:val="both"/>
      </w:pPr>
      <w:r>
        <w:lastRenderedPageBreak/>
        <w:t>Odgovorna osoba za realizaciju programa je Ravnatelj</w:t>
      </w:r>
      <w:r w:rsidR="005209FA">
        <w:t xml:space="preserve"> Knjižnice i čitaonice Kotoriba</w:t>
      </w:r>
      <w:r>
        <w:t>.</w:t>
      </w:r>
    </w:p>
    <w:p w:rsidR="00D577AC" w:rsidRDefault="00D577AC" w:rsidP="00465DDD">
      <w:pPr>
        <w:jc w:val="both"/>
      </w:pPr>
      <w:r>
        <w:t>Obrazloženje izradila Aleksandra Novak.</w:t>
      </w:r>
    </w:p>
    <w:p w:rsidR="00D577AC" w:rsidRDefault="00D577AC" w:rsidP="00465DDD">
      <w:pPr>
        <w:jc w:val="both"/>
      </w:pPr>
    </w:p>
    <w:p w:rsidR="00094E56" w:rsidRDefault="00C0117E" w:rsidP="005209FA">
      <w:pPr>
        <w:jc w:val="right"/>
      </w:pPr>
      <w:r>
        <w:t>Ravnatelj</w:t>
      </w:r>
      <w:r w:rsidR="005209FA">
        <w:t xml:space="preserve"> Knjižnice i čitaonice Kotoriba</w:t>
      </w:r>
    </w:p>
    <w:p w:rsidR="00C0117E" w:rsidRPr="00021168" w:rsidRDefault="005209FA" w:rsidP="005209FA">
      <w:pPr>
        <w:jc w:val="right"/>
      </w:pPr>
      <w:r>
        <w:t>Mario Friščić</w:t>
      </w:r>
    </w:p>
    <w:sectPr w:rsidR="00C0117E" w:rsidRPr="000211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043FFD"/>
    <w:multiLevelType w:val="hybridMultilevel"/>
    <w:tmpl w:val="E3E0B928"/>
    <w:lvl w:ilvl="0" w:tplc="0B10C70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65681E16"/>
    <w:multiLevelType w:val="hybridMultilevel"/>
    <w:tmpl w:val="FC1C83C4"/>
    <w:lvl w:ilvl="0" w:tplc="0B10C70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65C57BE0"/>
    <w:multiLevelType w:val="hybridMultilevel"/>
    <w:tmpl w:val="E3E0B928"/>
    <w:lvl w:ilvl="0" w:tplc="0B10C70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E40"/>
    <w:rsid w:val="00021168"/>
    <w:rsid w:val="00094E56"/>
    <w:rsid w:val="000E14F4"/>
    <w:rsid w:val="00334B46"/>
    <w:rsid w:val="00391D91"/>
    <w:rsid w:val="003A6136"/>
    <w:rsid w:val="00405952"/>
    <w:rsid w:val="00465DDD"/>
    <w:rsid w:val="004847A4"/>
    <w:rsid w:val="004C309B"/>
    <w:rsid w:val="004D3E40"/>
    <w:rsid w:val="005209FA"/>
    <w:rsid w:val="0056624D"/>
    <w:rsid w:val="00567EC4"/>
    <w:rsid w:val="00597881"/>
    <w:rsid w:val="005A2254"/>
    <w:rsid w:val="005A791D"/>
    <w:rsid w:val="005B51CA"/>
    <w:rsid w:val="005C0D6D"/>
    <w:rsid w:val="006C0851"/>
    <w:rsid w:val="006F0E92"/>
    <w:rsid w:val="008349DD"/>
    <w:rsid w:val="00985E26"/>
    <w:rsid w:val="009E626D"/>
    <w:rsid w:val="00A53F14"/>
    <w:rsid w:val="00B15FB0"/>
    <w:rsid w:val="00B941D9"/>
    <w:rsid w:val="00C0117E"/>
    <w:rsid w:val="00C45F9A"/>
    <w:rsid w:val="00C67DDA"/>
    <w:rsid w:val="00D163D2"/>
    <w:rsid w:val="00D25592"/>
    <w:rsid w:val="00D577AC"/>
    <w:rsid w:val="00DA5E42"/>
    <w:rsid w:val="00E74173"/>
    <w:rsid w:val="00F3659E"/>
    <w:rsid w:val="00F8739A"/>
    <w:rsid w:val="00F928D9"/>
    <w:rsid w:val="00FD1CF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CC60C"/>
  <w15:chartTrackingRefBased/>
  <w15:docId w15:val="{2EEF17BC-3DC8-4C00-B9B0-F2016E7D2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51CA"/>
    <w:pPr>
      <w:ind w:left="720"/>
      <w:contextualSpacing/>
    </w:pPr>
  </w:style>
  <w:style w:type="table" w:styleId="TableGrid">
    <w:name w:val="Table Grid"/>
    <w:basedOn w:val="TableNormal"/>
    <w:uiPriority w:val="39"/>
    <w:rsid w:val="00334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5</Pages>
  <Words>1415</Words>
  <Characters>8069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17</cp:revision>
  <dcterms:created xsi:type="dcterms:W3CDTF">2025-10-29T13:31:00Z</dcterms:created>
  <dcterms:modified xsi:type="dcterms:W3CDTF">2025-11-14T12:52:00Z</dcterms:modified>
</cp:coreProperties>
</file>